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99" w:rsidRDefault="00BC6899">
      <w:pPr>
        <w:rPr>
          <w:rFonts w:ascii="Montserrat" w:eastAsia="Montserrat" w:hAnsi="Montserrat" w:cs="Montserrat"/>
          <w:b/>
          <w:sz w:val="24"/>
          <w:szCs w:val="24"/>
          <w:highlight w:val="white"/>
          <w:u w:val="single"/>
        </w:rPr>
        <w:sectPr w:rsidR="00BC6899">
          <w:headerReference w:type="default" r:id="rId7"/>
          <w:footerReference w:type="default" r:id="rId8"/>
          <w:pgSz w:w="12240" w:h="15840"/>
          <w:pgMar w:top="1440" w:right="1440" w:bottom="1440" w:left="1530" w:header="720" w:footer="720" w:gutter="0"/>
          <w:pgNumType w:start="1"/>
          <w:cols w:space="720"/>
        </w:sectPr>
      </w:pPr>
    </w:p>
    <w:p w:rsidR="00BC6899" w:rsidRDefault="00581859">
      <w:pPr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Clarke County School District</w:t>
      </w:r>
    </w:p>
    <w:p w:rsidR="00BC6899" w:rsidRDefault="00581859">
      <w:pPr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Better Every Day Grant Program </w:t>
      </w:r>
    </w:p>
    <w:p w:rsidR="00BC6899" w:rsidRDefault="00581859">
      <w:pPr>
        <w:jc w:val="center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2019-2020</w:t>
      </w:r>
    </w:p>
    <w:p w:rsidR="00BC6899" w:rsidRDefault="00BC6899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The Local School Governance Team Better Every Day Grant program supports the implementation of schools’ growth plans. Each LSGT has the opportunity to design and/or invest in an initiative that aligns with one of the priorities outlined in its growth plan. The grant initiatives focus on three areas:</w:t>
      </w:r>
    </w:p>
    <w:p w:rsidR="00BF086D" w:rsidRDefault="00BF086D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1"/>
        </w:num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Literacy</w:t>
      </w:r>
    </w:p>
    <w:p w:rsidR="00BC6899" w:rsidRDefault="00581859">
      <w:pPr>
        <w:numPr>
          <w:ilvl w:val="0"/>
          <w:numId w:val="1"/>
        </w:num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Numeracy</w:t>
      </w:r>
    </w:p>
    <w:p w:rsidR="00BC6899" w:rsidRDefault="00581859">
      <w:pPr>
        <w:numPr>
          <w:ilvl w:val="0"/>
          <w:numId w:val="1"/>
        </w:num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Social-Emotional Learning</w:t>
      </w:r>
    </w:p>
    <w:p w:rsidR="00BC6899" w:rsidRDefault="00BC6899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 xml:space="preserve">For the 2019-2020 school year, the district is dedicating approximately $596,000 to support LSGT grants.     </w:t>
      </w:r>
    </w:p>
    <w:p w:rsidR="00BC6899" w:rsidRDefault="00BC6899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Directions</w:t>
      </w:r>
    </w:p>
    <w:p w:rsidR="00BC6899" w:rsidRDefault="00581859">
      <w:pPr>
        <w:rPr>
          <w:rFonts w:ascii="PT Serif" w:eastAsia="PT Serif" w:hAnsi="PT Serif" w:cs="PT Serif"/>
          <w:color w:val="222222"/>
          <w:highlight w:val="white"/>
        </w:rPr>
      </w:pPr>
      <w:bookmarkStart w:id="0" w:name="_GoBack"/>
      <w:bookmarkEnd w:id="0"/>
      <w:r>
        <w:rPr>
          <w:rFonts w:ascii="PT Serif" w:eastAsia="PT Serif" w:hAnsi="PT Serif" w:cs="PT Serif"/>
          <w:color w:val="222222"/>
          <w:highlight w:val="white"/>
        </w:rPr>
        <w:t>Please compl</w:t>
      </w:r>
      <w:r w:rsidR="009E1D2F">
        <w:rPr>
          <w:rFonts w:ascii="PT Serif" w:eastAsia="PT Serif" w:hAnsi="PT Serif" w:cs="PT Serif"/>
          <w:color w:val="222222"/>
          <w:highlight w:val="white"/>
        </w:rPr>
        <w:t>ete the application below and submit it</w:t>
      </w:r>
      <w:r>
        <w:rPr>
          <w:rFonts w:ascii="PT Serif" w:eastAsia="PT Serif" w:hAnsi="PT Serif" w:cs="PT Serif"/>
          <w:color w:val="222222"/>
          <w:highlight w:val="white"/>
        </w:rPr>
        <w:t xml:space="preserve"> to </w:t>
      </w:r>
      <w:hyperlink r:id="rId9">
        <w:r>
          <w:rPr>
            <w:rFonts w:ascii="PT Serif" w:eastAsia="PT Serif" w:hAnsi="PT Serif" w:cs="PT Serif"/>
            <w:color w:val="1155CC"/>
            <w:highlight w:val="white"/>
            <w:u w:val="single"/>
          </w:rPr>
          <w:t>lsgtgrants@clarke.k12.ga.us</w:t>
        </w:r>
      </w:hyperlink>
      <w:r>
        <w:rPr>
          <w:rFonts w:ascii="PT Serif" w:eastAsia="PT Serif" w:hAnsi="PT Serif" w:cs="PT Serif"/>
          <w:color w:val="222222"/>
          <w:highlight w:val="white"/>
        </w:rPr>
        <w:t xml:space="preserve">. There are </w:t>
      </w:r>
      <w:r w:rsidR="00074611">
        <w:rPr>
          <w:rFonts w:ascii="PT Serif" w:eastAsia="PT Serif" w:hAnsi="PT Serif" w:cs="PT Serif"/>
          <w:color w:val="222222"/>
          <w:highlight w:val="white"/>
        </w:rPr>
        <w:t>four</w:t>
      </w:r>
      <w:r>
        <w:rPr>
          <w:rFonts w:ascii="PT Serif" w:eastAsia="PT Serif" w:hAnsi="PT Serif" w:cs="PT Serif"/>
          <w:color w:val="222222"/>
          <w:highlight w:val="white"/>
        </w:rPr>
        <w:t xml:space="preserve"> submission deadlines for the 2019-2020 school year:</w:t>
      </w:r>
    </w:p>
    <w:p w:rsidR="00BC6899" w:rsidRDefault="00BC6899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4"/>
        </w:num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September 13, 2019</w:t>
      </w:r>
    </w:p>
    <w:p w:rsidR="00074611" w:rsidRDefault="00074611">
      <w:pPr>
        <w:numPr>
          <w:ilvl w:val="0"/>
          <w:numId w:val="4"/>
        </w:num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October 15, 2019</w:t>
      </w:r>
    </w:p>
    <w:p w:rsidR="00BC6899" w:rsidRDefault="000A4E50">
      <w:pPr>
        <w:numPr>
          <w:ilvl w:val="0"/>
          <w:numId w:val="4"/>
        </w:num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November 15</w:t>
      </w:r>
      <w:r w:rsidR="00581859">
        <w:rPr>
          <w:rFonts w:ascii="PT Serif" w:eastAsia="PT Serif" w:hAnsi="PT Serif" w:cs="PT Serif"/>
          <w:color w:val="222222"/>
          <w:highlight w:val="white"/>
        </w:rPr>
        <w:t>, 2019</w:t>
      </w:r>
    </w:p>
    <w:p w:rsidR="00BC6899" w:rsidRDefault="00581859">
      <w:pPr>
        <w:numPr>
          <w:ilvl w:val="0"/>
          <w:numId w:val="4"/>
        </w:num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February 14, 2020</w:t>
      </w:r>
    </w:p>
    <w:p w:rsidR="00BC6899" w:rsidRDefault="00BC6899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rPr>
          <w:rFonts w:ascii="PT Serif" w:eastAsia="PT Serif" w:hAnsi="PT Serif" w:cs="PT Serif"/>
          <w:color w:val="222222"/>
          <w:highlight w:val="white"/>
        </w:rPr>
      </w:pPr>
      <w:proofErr w:type="gramStart"/>
      <w:r>
        <w:rPr>
          <w:rFonts w:ascii="PT Serif" w:eastAsia="PT Serif" w:hAnsi="PT Serif" w:cs="PT Serif"/>
          <w:color w:val="222222"/>
          <w:highlight w:val="white"/>
        </w:rPr>
        <w:t>Applications should be submitted by principals</w:t>
      </w:r>
      <w:proofErr w:type="gramEnd"/>
      <w:r>
        <w:rPr>
          <w:rFonts w:ascii="PT Serif" w:eastAsia="PT Serif" w:hAnsi="PT Serif" w:cs="PT Serif"/>
          <w:color w:val="222222"/>
          <w:highlight w:val="white"/>
        </w:rPr>
        <w:t xml:space="preserve">. If another LSGT member submits the proposal, </w:t>
      </w:r>
      <w:proofErr w:type="gramStart"/>
      <w:r>
        <w:rPr>
          <w:rFonts w:ascii="PT Serif" w:eastAsia="PT Serif" w:hAnsi="PT Serif" w:cs="PT Serif"/>
          <w:color w:val="222222"/>
          <w:highlight w:val="white"/>
        </w:rPr>
        <w:t>it must be accompanied by a statement</w:t>
      </w:r>
      <w:proofErr w:type="gramEnd"/>
      <w:r>
        <w:rPr>
          <w:rFonts w:ascii="PT Serif" w:eastAsia="PT Serif" w:hAnsi="PT Serif" w:cs="PT Serif"/>
          <w:color w:val="222222"/>
          <w:highlight w:val="white"/>
        </w:rPr>
        <w:t xml:space="preserve"> from the principal approving the submission. Co-chairs must also submit a statement of support for each proposal.</w:t>
      </w:r>
    </w:p>
    <w:p w:rsidR="00BC6899" w:rsidRDefault="00BC6899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 xml:space="preserve">The grant review committee will review proposals the week after submission deadlines. To expedite the review process, the committee may request a conference call with principals and/or other staff or LSGT members to answer follow-up questions. </w:t>
      </w:r>
    </w:p>
    <w:p w:rsidR="00BC6899" w:rsidRDefault="00BC6899">
      <w:pPr>
        <w:ind w:left="720"/>
      </w:pPr>
    </w:p>
    <w:p w:rsidR="00BC6899" w:rsidRDefault="00581859">
      <w:pPr>
        <w:jc w:val="center"/>
        <w:rPr>
          <w:b/>
          <w:color w:val="222222"/>
        </w:rPr>
      </w:pPr>
      <w:r>
        <w:rPr>
          <w:b/>
          <w:color w:val="222222"/>
        </w:rPr>
        <w:t xml:space="preserve">ALL 2019-2020 GRANT FUNDS </w:t>
      </w:r>
      <w:proofErr w:type="gramStart"/>
      <w:r>
        <w:rPr>
          <w:b/>
          <w:color w:val="222222"/>
        </w:rPr>
        <w:t>MUST BE SPENT</w:t>
      </w:r>
      <w:proofErr w:type="gramEnd"/>
      <w:r>
        <w:rPr>
          <w:b/>
          <w:color w:val="222222"/>
        </w:rPr>
        <w:t xml:space="preserve"> BY JUNE 30, 2020.</w:t>
      </w:r>
    </w:p>
    <w:p w:rsidR="00BC6899" w:rsidRPr="009C5430" w:rsidRDefault="00581859" w:rsidP="009C5430">
      <w:pPr>
        <w:jc w:val="center"/>
        <w:rPr>
          <w:b/>
          <w:color w:val="222222"/>
        </w:rPr>
      </w:pPr>
      <w:r>
        <w:rPr>
          <w:b/>
          <w:color w:val="222222"/>
        </w:rPr>
        <w:t xml:space="preserve">GRANT FUNDS </w:t>
      </w:r>
      <w:proofErr w:type="gramStart"/>
      <w:r>
        <w:rPr>
          <w:b/>
          <w:color w:val="222222"/>
        </w:rPr>
        <w:t>MUST BE USED</w:t>
      </w:r>
      <w:proofErr w:type="gramEnd"/>
      <w:r>
        <w:rPr>
          <w:b/>
          <w:color w:val="222222"/>
        </w:rPr>
        <w:t xml:space="preserve"> IN COMPLIANCE WITH CCSD POLICIES INCLUDING ALL REQUIREMENTS AND DEADLINES SET BY THE CCSD FINANCE DEPARTMENT.</w:t>
      </w:r>
    </w:p>
    <w:p w:rsidR="00BC6899" w:rsidRDefault="00BC6899">
      <w:pPr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:rsidR="00BC6899" w:rsidRDefault="00581859">
      <w:pPr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lastRenderedPageBreak/>
        <w:t>Better Every Day Grant Program Application</w:t>
      </w:r>
    </w:p>
    <w:p w:rsidR="00BC6899" w:rsidRDefault="00581859">
      <w:pPr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2019-2020</w:t>
      </w:r>
    </w:p>
    <w:p w:rsidR="00BC6899" w:rsidRDefault="00BC6899">
      <w:pPr>
        <w:ind w:left="720"/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School name:</w:t>
      </w:r>
    </w:p>
    <w:p w:rsidR="00BC6899" w:rsidRDefault="00BC6899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Principal name:</w:t>
      </w:r>
    </w:p>
    <w:p w:rsidR="00BC6899" w:rsidRDefault="00BC6899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 w:rsidP="009E1D2F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Focus area (select the primary focus area if the initiative covers multiple areas):</w:t>
      </w:r>
    </w:p>
    <w:p w:rsidR="009E1D2F" w:rsidRPr="009E1D2F" w:rsidRDefault="009E1D2F" w:rsidP="009E1D2F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2"/>
        </w:num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Literacy</w:t>
      </w:r>
    </w:p>
    <w:p w:rsidR="00BC6899" w:rsidRDefault="00581859">
      <w:pPr>
        <w:numPr>
          <w:ilvl w:val="0"/>
          <w:numId w:val="2"/>
        </w:num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Numeracy</w:t>
      </w:r>
    </w:p>
    <w:p w:rsidR="00BC6899" w:rsidRDefault="00581859">
      <w:pPr>
        <w:numPr>
          <w:ilvl w:val="0"/>
          <w:numId w:val="2"/>
        </w:num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Social-Emotional Learning</w:t>
      </w:r>
    </w:p>
    <w:p w:rsidR="00BC6899" w:rsidRDefault="00BC6899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Initiative Name:</w:t>
      </w:r>
    </w:p>
    <w:p w:rsidR="00BC6899" w:rsidRDefault="00BC6899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Funding amount requested:</w:t>
      </w:r>
    </w:p>
    <w:p w:rsidR="00BC6899" w:rsidRDefault="00BC6899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What priority in your school growth plan/action plan does this initiative address?</w:t>
      </w:r>
    </w:p>
    <w:p w:rsidR="00414F87" w:rsidRDefault="00414F87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 xml:space="preserve">Description of initiative: </w:t>
      </w:r>
    </w:p>
    <w:p w:rsidR="00BC6899" w:rsidRDefault="00BC6899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How will this initiative facilitate progress to the desired outcome identified in your plan?</w:t>
      </w:r>
    </w:p>
    <w:p w:rsidR="00BC6899" w:rsidRDefault="00BC6899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Is this initiative a continuation of an earlier LSGT grant activity? If yes, what has been the impact of the initiative to date?</w:t>
      </w:r>
    </w:p>
    <w:p w:rsidR="00BC6899" w:rsidRDefault="00BC6899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 xml:space="preserve">What are the expected outcomes for this initiative by the end of the 2019-2020 school year?  </w:t>
      </w:r>
    </w:p>
    <w:p w:rsidR="00BC6899" w:rsidRDefault="00BC6899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 xml:space="preserve">What indicators </w:t>
      </w:r>
      <w:proofErr w:type="gramStart"/>
      <w:r>
        <w:rPr>
          <w:rFonts w:ascii="PT Serif" w:eastAsia="PT Serif" w:hAnsi="PT Serif" w:cs="PT Serif"/>
          <w:color w:val="222222"/>
          <w:highlight w:val="white"/>
        </w:rPr>
        <w:t>will be used</w:t>
      </w:r>
      <w:proofErr w:type="gramEnd"/>
      <w:r>
        <w:rPr>
          <w:rFonts w:ascii="PT Serif" w:eastAsia="PT Serif" w:hAnsi="PT Serif" w:cs="PT Serif"/>
          <w:color w:val="222222"/>
          <w:highlight w:val="white"/>
        </w:rPr>
        <w:t xml:space="preserve"> to measure progress? (Indicators may include qualitative data and interim benchmarks.)</w:t>
      </w:r>
    </w:p>
    <w:p w:rsidR="00BC6899" w:rsidRDefault="00BC6899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If this initiative</w:t>
      </w:r>
      <w:r w:rsidR="00F21245">
        <w:rPr>
          <w:rFonts w:ascii="PT Serif" w:eastAsia="PT Serif" w:hAnsi="PT Serif" w:cs="PT Serif"/>
          <w:color w:val="222222"/>
          <w:highlight w:val="white"/>
        </w:rPr>
        <w:t xml:space="preserve"> extends beyond June 30, 2020, </w:t>
      </w:r>
      <w:r>
        <w:rPr>
          <w:rFonts w:ascii="PT Serif" w:eastAsia="PT Serif" w:hAnsi="PT Serif" w:cs="PT Serif"/>
          <w:color w:val="222222"/>
          <w:highlight w:val="white"/>
        </w:rPr>
        <w:t xml:space="preserve">how </w:t>
      </w:r>
      <w:proofErr w:type="gramStart"/>
      <w:r>
        <w:rPr>
          <w:rFonts w:ascii="PT Serif" w:eastAsia="PT Serif" w:hAnsi="PT Serif" w:cs="PT Serif"/>
          <w:color w:val="222222"/>
          <w:highlight w:val="white"/>
        </w:rPr>
        <w:t>will it be sustained</w:t>
      </w:r>
      <w:proofErr w:type="gramEnd"/>
      <w:r>
        <w:rPr>
          <w:rFonts w:ascii="PT Serif" w:eastAsia="PT Serif" w:hAnsi="PT Serif" w:cs="PT Serif"/>
          <w:color w:val="222222"/>
          <w:highlight w:val="white"/>
        </w:rPr>
        <w:t xml:space="preserve"> after grant funding ends? (If funding </w:t>
      </w:r>
      <w:proofErr w:type="gramStart"/>
      <w:r>
        <w:rPr>
          <w:rFonts w:ascii="PT Serif" w:eastAsia="PT Serif" w:hAnsi="PT Serif" w:cs="PT Serif"/>
          <w:color w:val="222222"/>
          <w:highlight w:val="white"/>
        </w:rPr>
        <w:t>is used</w:t>
      </w:r>
      <w:proofErr w:type="gramEnd"/>
      <w:r>
        <w:rPr>
          <w:rFonts w:ascii="PT Serif" w:eastAsia="PT Serif" w:hAnsi="PT Serif" w:cs="PT Serif"/>
          <w:color w:val="222222"/>
          <w:highlight w:val="white"/>
        </w:rPr>
        <w:t xml:space="preserve"> to support a staff position, this question </w:t>
      </w:r>
      <w:r>
        <w:rPr>
          <w:rFonts w:ascii="PT Serif" w:eastAsia="PT Serif" w:hAnsi="PT Serif" w:cs="PT Serif"/>
          <w:b/>
          <w:color w:val="222222"/>
          <w:highlight w:val="white"/>
        </w:rPr>
        <w:t xml:space="preserve">must </w:t>
      </w:r>
      <w:r>
        <w:rPr>
          <w:rFonts w:ascii="PT Serif" w:eastAsia="PT Serif" w:hAnsi="PT Serif" w:cs="PT Serif"/>
          <w:color w:val="222222"/>
          <w:highlight w:val="white"/>
        </w:rPr>
        <w:t>be answered.)</w:t>
      </w:r>
    </w:p>
    <w:p w:rsidR="00BC6899" w:rsidRDefault="00BC6899">
      <w:pPr>
        <w:ind w:left="720"/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BC6899">
      <w:pPr>
        <w:ind w:left="720"/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lastRenderedPageBreak/>
        <w:t>Name of person responsible for initiative if other than principal:</w:t>
      </w:r>
    </w:p>
    <w:p w:rsidR="00BC6899" w:rsidRDefault="00BC6899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 xml:space="preserve">What </w:t>
      </w:r>
      <w:r w:rsidR="00395204">
        <w:rPr>
          <w:rFonts w:ascii="PT Serif" w:eastAsia="PT Serif" w:hAnsi="PT Serif" w:cs="PT Serif"/>
          <w:color w:val="222222"/>
          <w:highlight w:val="white"/>
        </w:rPr>
        <w:t>are the primary action steps and</w:t>
      </w:r>
      <w:r>
        <w:rPr>
          <w:rFonts w:ascii="PT Serif" w:eastAsia="PT Serif" w:hAnsi="PT Serif" w:cs="PT Serif"/>
          <w:color w:val="222222"/>
          <w:highlight w:val="white"/>
        </w:rPr>
        <w:t xml:space="preserve"> timeline for implementing this initiative?</w:t>
      </w:r>
    </w:p>
    <w:p w:rsidR="00BC6899" w:rsidRDefault="00BC6899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 xml:space="preserve">What is the estimated budget, by category and </w:t>
      </w:r>
      <w:r w:rsidR="004051E7">
        <w:rPr>
          <w:rFonts w:ascii="PT Serif" w:eastAsia="PT Serif" w:hAnsi="PT Serif" w:cs="PT Serif"/>
          <w:color w:val="222222"/>
          <w:highlight w:val="white"/>
        </w:rPr>
        <w:t>total cost, for this initiative?</w:t>
      </w:r>
      <w:r>
        <w:rPr>
          <w:rFonts w:ascii="PT Serif" w:eastAsia="PT Serif" w:hAnsi="PT Serif" w:cs="PT Serif"/>
          <w:color w:val="222222"/>
          <w:highlight w:val="white"/>
        </w:rPr>
        <w:t xml:space="preserve"> If your initiative includes stipends for teachers, add </w:t>
      </w:r>
      <w:r w:rsidR="00414F87">
        <w:rPr>
          <w:rFonts w:ascii="PT Serif" w:eastAsia="PT Serif" w:hAnsi="PT Serif" w:cs="PT Serif"/>
          <w:color w:val="222222"/>
          <w:highlight w:val="white"/>
        </w:rPr>
        <w:t>7.065</w:t>
      </w:r>
      <w:r>
        <w:rPr>
          <w:rFonts w:ascii="PT Serif" w:eastAsia="PT Serif" w:hAnsi="PT Serif" w:cs="PT Serif"/>
          <w:color w:val="222222"/>
          <w:highlight w:val="white"/>
        </w:rPr>
        <w:t xml:space="preserve"> percent to the stipend amount</w:t>
      </w:r>
      <w:r w:rsidR="00414F87">
        <w:rPr>
          <w:rFonts w:ascii="PT Serif" w:eastAsia="PT Serif" w:hAnsi="PT Serif" w:cs="PT Serif"/>
          <w:color w:val="222222"/>
          <w:highlight w:val="white"/>
        </w:rPr>
        <w:t xml:space="preserve"> for FICA and Medicare</w:t>
      </w:r>
      <w:r>
        <w:rPr>
          <w:rFonts w:ascii="PT Serif" w:eastAsia="PT Serif" w:hAnsi="PT Serif" w:cs="PT Serif"/>
          <w:color w:val="222222"/>
          <w:highlight w:val="white"/>
        </w:rPr>
        <w:t>.</w:t>
      </w:r>
      <w:r w:rsidR="00414F87">
        <w:rPr>
          <w:rFonts w:ascii="PT Serif" w:eastAsia="PT Serif" w:hAnsi="PT Serif" w:cs="PT Serif"/>
          <w:color w:val="222222"/>
          <w:highlight w:val="white"/>
        </w:rPr>
        <w:t xml:space="preserve"> This cost</w:t>
      </w:r>
      <w:r>
        <w:rPr>
          <w:rFonts w:ascii="PT Serif" w:eastAsia="PT Serif" w:hAnsi="PT Serif" w:cs="PT Serif"/>
          <w:color w:val="222222"/>
          <w:highlight w:val="white"/>
        </w:rPr>
        <w:t xml:space="preserve"> </w:t>
      </w:r>
      <w:proofErr w:type="gramStart"/>
      <w:r>
        <w:rPr>
          <w:rFonts w:ascii="PT Serif" w:eastAsia="PT Serif" w:hAnsi="PT Serif" w:cs="PT Serif"/>
          <w:color w:val="222222"/>
          <w:highlight w:val="white"/>
        </w:rPr>
        <w:t>must be covered</w:t>
      </w:r>
      <w:proofErr w:type="gramEnd"/>
      <w:r>
        <w:rPr>
          <w:rFonts w:ascii="PT Serif" w:eastAsia="PT Serif" w:hAnsi="PT Serif" w:cs="PT Serif"/>
          <w:color w:val="222222"/>
          <w:highlight w:val="white"/>
        </w:rPr>
        <w:t xml:space="preserve"> with your grant funds.</w:t>
      </w:r>
    </w:p>
    <w:p w:rsidR="00BC6899" w:rsidRDefault="00BC6899" w:rsidP="00414F87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numPr>
          <w:ilvl w:val="0"/>
          <w:numId w:val="3"/>
        </w:numPr>
        <w:ind w:left="360"/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t>Provide a letter of support from the LSGT co-chair.</w:t>
      </w:r>
    </w:p>
    <w:p w:rsidR="00BC6899" w:rsidRDefault="00BC6899">
      <w:pPr>
        <w:ind w:left="720"/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BC6899">
      <w:pPr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BC6899">
      <w:pPr>
        <w:ind w:left="720"/>
        <w:jc w:val="center"/>
        <w:rPr>
          <w:rFonts w:ascii="PT Serif" w:eastAsia="PT Serif" w:hAnsi="PT Serif" w:cs="PT Serif"/>
          <w:color w:val="222222"/>
          <w:highlight w:val="white"/>
        </w:rPr>
      </w:pPr>
    </w:p>
    <w:p w:rsidR="00BC6899" w:rsidRDefault="0058185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ALL 2019-2020 GRANT FUNDS </w:t>
      </w:r>
      <w:proofErr w:type="gramStart"/>
      <w:r>
        <w:rPr>
          <w:b/>
          <w:color w:val="FF0000"/>
        </w:rPr>
        <w:t>MUST BE SPENT</w:t>
      </w:r>
      <w:proofErr w:type="gramEnd"/>
      <w:r>
        <w:rPr>
          <w:b/>
          <w:color w:val="FF0000"/>
        </w:rPr>
        <w:t xml:space="preserve"> BY JUNE 30, 2020</w:t>
      </w:r>
    </w:p>
    <w:p w:rsidR="00BC6899" w:rsidRDefault="00581859">
      <w:pPr>
        <w:jc w:val="center"/>
        <w:rPr>
          <w:b/>
          <w:color w:val="FF0000"/>
        </w:rPr>
      </w:pPr>
      <w:r>
        <w:rPr>
          <w:b/>
          <w:color w:val="FF0000"/>
        </w:rPr>
        <w:t>ALL ITEMS PURCHASED WITH GRANT FUNDS MUST BE RECEIVED BY JUNE 30, 2020</w:t>
      </w:r>
    </w:p>
    <w:p w:rsidR="00BC6899" w:rsidRPr="009C5430" w:rsidRDefault="00581859" w:rsidP="009C5430">
      <w:pPr>
        <w:jc w:val="center"/>
        <w:rPr>
          <w:b/>
          <w:color w:val="FF0000"/>
        </w:rPr>
      </w:pPr>
      <w:r>
        <w:rPr>
          <w:b/>
          <w:color w:val="FF0000"/>
        </w:rPr>
        <w:t>ALL SERVICE</w:t>
      </w:r>
      <w:r w:rsidR="00D67EFB">
        <w:rPr>
          <w:b/>
          <w:color w:val="FF0000"/>
        </w:rPr>
        <w:t xml:space="preserve">S PURCHASED WITH GRANT FUNDS MUST BE RECEIVED </w:t>
      </w:r>
      <w:r>
        <w:rPr>
          <w:b/>
          <w:color w:val="FF0000"/>
        </w:rPr>
        <w:t>BY JUNE 30, 2020</w:t>
      </w:r>
    </w:p>
    <w:p w:rsidR="009C5430" w:rsidRDefault="009C5430">
      <w:pPr>
        <w:rPr>
          <w:rFonts w:ascii="PT Serif" w:eastAsia="PT Serif" w:hAnsi="PT Serif" w:cs="PT Serif"/>
          <w:color w:val="222222"/>
          <w:highlight w:val="white"/>
        </w:rPr>
      </w:pPr>
      <w:r>
        <w:rPr>
          <w:rFonts w:ascii="PT Serif" w:eastAsia="PT Serif" w:hAnsi="PT Serif" w:cs="PT Serif"/>
          <w:color w:val="222222"/>
          <w:highlight w:val="white"/>
        </w:rPr>
        <w:br w:type="page"/>
      </w:r>
    </w:p>
    <w:p w:rsidR="00BC6899" w:rsidRPr="006F290C" w:rsidRDefault="006F290C" w:rsidP="006F290C">
      <w:pPr>
        <w:ind w:left="720"/>
        <w:jc w:val="center"/>
        <w:rPr>
          <w:rFonts w:ascii="PT Serif" w:eastAsia="PT Serif" w:hAnsi="PT Serif" w:cs="PT Serif"/>
          <w:b/>
          <w:color w:val="222222"/>
          <w:highlight w:val="white"/>
        </w:rPr>
      </w:pPr>
      <w:r w:rsidRPr="006F290C">
        <w:rPr>
          <w:rFonts w:ascii="PT Serif" w:eastAsia="PT Serif" w:hAnsi="PT Serif" w:cs="PT Serif"/>
          <w:b/>
          <w:color w:val="222222"/>
          <w:highlight w:val="white"/>
        </w:rPr>
        <w:lastRenderedPageBreak/>
        <w:t>Better Every Day Grant Allotments</w:t>
      </w:r>
    </w:p>
    <w:p w:rsidR="006F290C" w:rsidRPr="006F290C" w:rsidRDefault="006F290C" w:rsidP="006F290C">
      <w:pPr>
        <w:ind w:left="720"/>
        <w:jc w:val="center"/>
        <w:rPr>
          <w:rFonts w:ascii="PT Serif" w:eastAsia="PT Serif" w:hAnsi="PT Serif" w:cs="PT Serif"/>
          <w:b/>
          <w:color w:val="222222"/>
          <w:highlight w:val="white"/>
        </w:rPr>
      </w:pPr>
      <w:r w:rsidRPr="006F290C">
        <w:rPr>
          <w:rFonts w:ascii="PT Serif" w:eastAsia="PT Serif" w:hAnsi="PT Serif" w:cs="PT Serif"/>
          <w:b/>
          <w:color w:val="222222"/>
          <w:highlight w:val="white"/>
        </w:rPr>
        <w:t>2019-2020</w:t>
      </w:r>
    </w:p>
    <w:tbl>
      <w:tblPr>
        <w:tblW w:w="11640" w:type="dxa"/>
        <w:tblInd w:w="-1265" w:type="dxa"/>
        <w:tblLook w:val="04A0" w:firstRow="1" w:lastRow="0" w:firstColumn="1" w:lastColumn="0" w:noHBand="0" w:noVBand="1"/>
      </w:tblPr>
      <w:tblGrid>
        <w:gridCol w:w="3220"/>
        <w:gridCol w:w="1260"/>
        <w:gridCol w:w="937"/>
        <w:gridCol w:w="1063"/>
        <w:gridCol w:w="1366"/>
        <w:gridCol w:w="1038"/>
        <w:gridCol w:w="1366"/>
        <w:gridCol w:w="1460"/>
      </w:tblGrid>
      <w:tr w:rsidR="009C5430" w:rsidRPr="009C5430" w:rsidTr="009C5430">
        <w:trPr>
          <w:trHeight w:val="93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School Name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Enrollment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Std</w:t>
            </w:r>
            <w:proofErr w:type="spellEnd"/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 xml:space="preserve"> Poverty</w:t>
            </w: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br/>
              <w:t>FY18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CCRPI Need</w:t>
            </w: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br/>
              <w:t>Category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Base Amount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85E74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Per</w:t>
            </w:r>
            <w:r w:rsidR="00985E74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Std</w:t>
            </w:r>
            <w:proofErr w:type="spellEnd"/>
          </w:p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Rt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Per</w:t>
            </w:r>
            <w:r w:rsidR="00985E74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Std</w:t>
            </w:r>
            <w:proofErr w:type="spellEnd"/>
            <w:r w:rsidR="00985E74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Amt</w:t>
            </w:r>
            <w:proofErr w:type="spellEnd"/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br/>
              <w:t>Total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Elementary Schools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Alps Road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378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$36.50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$10,154.59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$30,154.59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Barnett Shoals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538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$26.50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$7,313.84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$27,313.84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Barrow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189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$21.50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$4,067.03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$24,067.03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Chase Street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587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$21.50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$4,455.04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$24,455.04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Cleveland Road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307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146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$31.50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$4,612.83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$24,612.83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Fowler Drive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475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$36.50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$11,026.65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$31,026.65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Gaines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541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$36.50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$14,612.41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$34,612.41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Howard B. Stroud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$31.50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$9,134.50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$29,134.50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Judia</w:t>
            </w:r>
            <w:proofErr w:type="spellEnd"/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 xml:space="preserve"> Jackson Harris Elementary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482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$31.50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$8,259.55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$28,259.55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Oglethorpe Avenue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$26.50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$7,728.91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$27,728.91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Timothy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575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139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$21.50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$2,991.73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$22,991.73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Whit Davis Road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$26.50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$5,550.21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$25,550.21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Whitehead Road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808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$26.50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$9,014.45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$29,014.45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Winterville Elementary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436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$36.50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$8,323.02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$28,323.02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Middle Schools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Burney-Harris-Lyons Middle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679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$31.50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$9,175.67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$29,175.67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Clarke Middle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756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$26.50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$8,254.01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$28,254.01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Coile</w:t>
            </w:r>
            <w:proofErr w:type="spellEnd"/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 xml:space="preserve"> Middle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714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$31.50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$12,100.16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$32,100.16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Hilsman</w:t>
            </w:r>
            <w:proofErr w:type="spellEnd"/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 xml:space="preserve"> Middle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670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$31.50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$10,953.50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$30,953.50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High Schools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 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Cedar Shoals High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1,303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529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$31.50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$16,664.07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$36,664.07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Clarke Central High School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1,642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509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$21.50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$10,943.93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$30,943.93</w:t>
            </w:r>
          </w:p>
        </w:tc>
      </w:tr>
      <w:tr w:rsidR="009C5430" w:rsidRPr="009C5430" w:rsidTr="009C543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Classic City High School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$20,000.00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sz w:val="20"/>
                <w:szCs w:val="20"/>
                <w:lang w:val="en-US"/>
              </w:rPr>
              <w:t>$36.50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D966" w:fill="FFD96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iCs/>
                <w:color w:val="000000"/>
                <w:sz w:val="20"/>
                <w:szCs w:val="20"/>
                <w:lang w:val="en-US"/>
              </w:rPr>
              <w:t>$1,208.00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D9EEB" w:fill="9BC2E6"/>
            <w:noWrap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$21,208.00</w:t>
            </w:r>
          </w:p>
        </w:tc>
      </w:tr>
      <w:tr w:rsidR="009C5430" w:rsidRPr="009C5430" w:rsidTr="009C5430">
        <w:trPr>
          <w:trHeight w:val="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30" w:rsidRPr="009C5430" w:rsidRDefault="009C5430" w:rsidP="009C5430">
            <w:pPr>
              <w:spacing w:line="240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$420,000.00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30" w:rsidRPr="009C5430" w:rsidRDefault="009C5430" w:rsidP="009C5430">
            <w:pPr>
              <w:spacing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$176,544.08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C5430" w:rsidRPr="009C5430" w:rsidRDefault="009C5430" w:rsidP="009C5430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543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n-US"/>
              </w:rPr>
              <w:t>$596,544.08</w:t>
            </w:r>
          </w:p>
        </w:tc>
      </w:tr>
    </w:tbl>
    <w:p w:rsidR="009C5430" w:rsidRPr="009C5430" w:rsidRDefault="009C5430">
      <w:pPr>
        <w:ind w:left="720"/>
        <w:rPr>
          <w:rFonts w:ascii="PT Serif" w:eastAsia="PT Serif" w:hAnsi="PT Serif" w:cs="PT Serif"/>
          <w:color w:val="222222"/>
          <w:highlight w:val="white"/>
        </w:rPr>
      </w:pPr>
    </w:p>
    <w:p w:rsidR="00BC6899" w:rsidRPr="009C5430" w:rsidRDefault="00BC6899"/>
    <w:p w:rsidR="009C5430" w:rsidRPr="009C5430" w:rsidRDefault="009C5430"/>
    <w:sectPr w:rsidR="009C5430" w:rsidRPr="009C5430" w:rsidSect="009C5430">
      <w:type w:val="continuous"/>
      <w:pgSz w:w="12240" w:h="15840"/>
      <w:pgMar w:top="2160" w:right="1440" w:bottom="1440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CF" w:rsidRDefault="003A39CF">
      <w:pPr>
        <w:spacing w:line="240" w:lineRule="auto"/>
      </w:pPr>
      <w:r>
        <w:separator/>
      </w:r>
    </w:p>
  </w:endnote>
  <w:endnote w:type="continuationSeparator" w:id="0">
    <w:p w:rsidR="003A39CF" w:rsidRDefault="003A3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99" w:rsidRDefault="005818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BF086D">
      <w:rPr>
        <w:rFonts w:ascii="Cambria" w:eastAsia="Cambria" w:hAnsi="Cambria" w:cs="Cambria"/>
        <w:noProof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BC6899" w:rsidRDefault="00BC68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CF" w:rsidRDefault="003A39CF">
      <w:pPr>
        <w:spacing w:line="240" w:lineRule="auto"/>
      </w:pPr>
      <w:r>
        <w:separator/>
      </w:r>
    </w:p>
  </w:footnote>
  <w:footnote w:type="continuationSeparator" w:id="0">
    <w:p w:rsidR="003A39CF" w:rsidRDefault="003A3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99" w:rsidRDefault="005818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2697025" cy="731520"/>
          <wp:effectExtent l="0" t="0" r="0" b="0"/>
          <wp:docPr id="1" name="image1.jpg" descr="C:\Users\suggsc\Documents\Communications\NEW_Logos_jpgs\Clarke-Logo-Hori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uggsc\Documents\Communications\NEW_Logos_jpgs\Clarke-Logo-Hori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702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5069"/>
    <w:multiLevelType w:val="multilevel"/>
    <w:tmpl w:val="0DF84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8D3F69"/>
    <w:multiLevelType w:val="multilevel"/>
    <w:tmpl w:val="B2E46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E17FC9"/>
    <w:multiLevelType w:val="multilevel"/>
    <w:tmpl w:val="32F42F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766FC1"/>
    <w:multiLevelType w:val="multilevel"/>
    <w:tmpl w:val="0C902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99"/>
    <w:rsid w:val="00074611"/>
    <w:rsid w:val="000A4E50"/>
    <w:rsid w:val="00395204"/>
    <w:rsid w:val="003A39CF"/>
    <w:rsid w:val="004051E7"/>
    <w:rsid w:val="00414F87"/>
    <w:rsid w:val="00581859"/>
    <w:rsid w:val="005F0232"/>
    <w:rsid w:val="006F290C"/>
    <w:rsid w:val="00985E74"/>
    <w:rsid w:val="009C5430"/>
    <w:rsid w:val="009E1D2F"/>
    <w:rsid w:val="00BC6899"/>
    <w:rsid w:val="00BF086D"/>
    <w:rsid w:val="00D67EFB"/>
    <w:rsid w:val="00DD31E1"/>
    <w:rsid w:val="00F21245"/>
    <w:rsid w:val="00F60E66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121E1"/>
  <w15:docId w15:val="{1C6055E6-7A0B-403B-8DB8-8DA169AE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C54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430"/>
  </w:style>
  <w:style w:type="paragraph" w:styleId="Footer">
    <w:name w:val="footer"/>
    <w:basedOn w:val="Normal"/>
    <w:link w:val="FooterChar"/>
    <w:uiPriority w:val="99"/>
    <w:unhideWhenUsed/>
    <w:rsid w:val="009C54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430"/>
  </w:style>
  <w:style w:type="paragraph" w:styleId="BalloonText">
    <w:name w:val="Balloon Text"/>
    <w:basedOn w:val="Normal"/>
    <w:link w:val="BalloonTextChar"/>
    <w:uiPriority w:val="99"/>
    <w:semiHidden/>
    <w:unhideWhenUsed/>
    <w:rsid w:val="00414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gtgrants@clarke.k12.g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Suggs, Claire</dc:creator>
  <cp:lastModifiedBy>Suggs, Claire</cp:lastModifiedBy>
  <cp:revision>11</cp:revision>
  <cp:lastPrinted>2019-08-29T18:17:00Z</cp:lastPrinted>
  <dcterms:created xsi:type="dcterms:W3CDTF">2019-07-23T03:13:00Z</dcterms:created>
  <dcterms:modified xsi:type="dcterms:W3CDTF">2019-08-29T18:23:00Z</dcterms:modified>
</cp:coreProperties>
</file>